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DB55C">
      <w:pPr>
        <w:rPr>
          <w:rStyle w:val="10"/>
          <w:rFonts w:ascii="宋体" w:hAnsi="宋体" w:eastAsia="宋体" w:cs="宋体"/>
          <w:bCs w:val="0"/>
          <w:sz w:val="32"/>
          <w:szCs w:val="32"/>
        </w:rPr>
      </w:pPr>
      <w:r>
        <w:rPr>
          <w:rStyle w:val="10"/>
          <w:rFonts w:hint="eastAsia" w:ascii="宋体" w:hAnsi="宋体" w:eastAsia="宋体" w:cs="宋体"/>
          <w:bCs w:val="0"/>
          <w:sz w:val="32"/>
          <w:szCs w:val="32"/>
        </w:rPr>
        <w:t>附件2：</w:t>
      </w:r>
    </w:p>
    <w:p w14:paraId="0AA9E1D6">
      <w:pPr>
        <w:jc w:val="center"/>
        <w:rPr>
          <w:rStyle w:val="10"/>
          <w:rFonts w:ascii="宋体" w:hAnsi="宋体" w:eastAsia="宋体" w:cs="宋体"/>
          <w:b w:val="0"/>
          <w:bCs w:val="0"/>
          <w:sz w:val="32"/>
          <w:szCs w:val="32"/>
          <w:highlight w:val="none"/>
        </w:rPr>
      </w:pPr>
      <w:r>
        <w:rPr>
          <w:rFonts w:hint="eastAsia" w:asciiTheme="minorEastAsia" w:hAnsiTheme="minorEastAsia"/>
          <w:b/>
          <w:sz w:val="32"/>
          <w:szCs w:val="32"/>
          <w:highlight w:val="none"/>
        </w:rPr>
        <w:t>202</w:t>
      </w:r>
      <w:r>
        <w:rPr>
          <w:rFonts w:hint="eastAsia" w:asciiTheme="minorEastAsia" w:hAnsiTheme="minorEastAsia"/>
          <w:b/>
          <w:sz w:val="32"/>
          <w:szCs w:val="32"/>
          <w:highlight w:val="none"/>
          <w:lang w:val="en-US" w:eastAsia="zh-CN"/>
        </w:rPr>
        <w:t>5</w:t>
      </w:r>
      <w:r>
        <w:rPr>
          <w:rFonts w:hint="eastAsia" w:asciiTheme="minorEastAsia" w:hAnsiTheme="minorEastAsia"/>
          <w:b/>
          <w:sz w:val="32"/>
          <w:szCs w:val="32"/>
          <w:highlight w:val="none"/>
        </w:rPr>
        <w:t>年度湖南省学前教育规划课题指南</w:t>
      </w:r>
    </w:p>
    <w:p w14:paraId="3CDC0AED">
      <w:pPr>
        <w:adjustRightInd w:val="0"/>
        <w:jc w:val="center"/>
        <w:rPr>
          <w:rFonts w:ascii="宋体" w:hAnsi="宋体" w:cs="宋体"/>
          <w:b/>
          <w:kern w:val="0"/>
          <w:sz w:val="24"/>
          <w:highlight w:val="green"/>
        </w:rPr>
      </w:pPr>
    </w:p>
    <w:p w14:paraId="689E4513">
      <w:pPr>
        <w:adjustRightInd w:val="0"/>
        <w:jc w:val="center"/>
        <w:rPr>
          <w:rFonts w:ascii="宋体" w:hAnsi="宋体" w:cs="宋体"/>
          <w:b/>
          <w:kern w:val="0"/>
          <w:sz w:val="24"/>
          <w:highlight w:val="green"/>
        </w:rPr>
      </w:pPr>
    </w:p>
    <w:p w14:paraId="21A1CA3B">
      <w:pPr>
        <w:adjustRightInd w:val="0"/>
        <w:spacing w:line="480" w:lineRule="exact"/>
        <w:jc w:val="center"/>
        <w:rPr>
          <w:rFonts w:cs="宋体" w:asciiTheme="minorEastAsia" w:hAnsiTheme="minorEastAsia"/>
          <w:b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kern w:val="0"/>
          <w:sz w:val="28"/>
          <w:szCs w:val="28"/>
        </w:rPr>
        <w:t>一、指南说明</w:t>
      </w:r>
    </w:p>
    <w:p w14:paraId="7753517A">
      <w:pPr>
        <w:adjustRightInd w:val="0"/>
        <w:spacing w:line="480" w:lineRule="exact"/>
        <w:jc w:val="center"/>
        <w:rPr>
          <w:rFonts w:cs="宋体" w:asciiTheme="minorEastAsia" w:hAnsiTheme="minorEastAsia"/>
          <w:b/>
          <w:kern w:val="0"/>
          <w:sz w:val="28"/>
          <w:szCs w:val="28"/>
        </w:rPr>
      </w:pPr>
    </w:p>
    <w:p w14:paraId="462761DD">
      <w:pPr>
        <w:adjustRightInd w:val="0"/>
        <w:snapToGrid w:val="0"/>
        <w:spacing w:line="480" w:lineRule="exact"/>
        <w:ind w:left="-359" w:leftChars="-171" w:firstLine="560" w:firstLineChars="200"/>
        <w:jc w:val="left"/>
        <w:outlineLvl w:val="3"/>
        <w:rPr>
          <w:rFonts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kern w:val="0"/>
          <w:sz w:val="28"/>
          <w:szCs w:val="28"/>
        </w:rPr>
        <w:t>为了更好地配合国家发展学前教育的</w:t>
      </w:r>
      <w:r>
        <w:rPr>
          <w:rFonts w:hint="eastAsia" w:asciiTheme="minorEastAsia" w:hAnsiTheme="minorEastAsia"/>
          <w:sz w:val="28"/>
          <w:szCs w:val="28"/>
        </w:rPr>
        <w:t>战略部署，现拟订相关学前教育规划课题指南。请各申报单位或个人根据实际情况确定选题，申报课题，课题名称可从本指南中选择，也可以根据个人研究兴趣、研究方向自拟。</w:t>
      </w:r>
    </w:p>
    <w:p w14:paraId="2F1A0CFA">
      <w:pPr>
        <w:adjustRightInd w:val="0"/>
        <w:snapToGrid w:val="0"/>
        <w:spacing w:line="480" w:lineRule="exact"/>
        <w:ind w:left="-359" w:leftChars="-171" w:firstLine="560" w:firstLineChars="200"/>
        <w:jc w:val="left"/>
        <w:outlineLvl w:val="3"/>
        <w:rPr>
          <w:rFonts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kern w:val="0"/>
          <w:sz w:val="28"/>
          <w:szCs w:val="28"/>
        </w:rPr>
        <w:t>鉴于我会会员组成的多层次性和工作性质的多样性，规划课题指南既包括适合大专院校（包括高职高专）教师和教科研人员的课题，也包括适合行政管理干部、幼儿园园长和教师以及报刊杂志编辑等有关人员的选题。</w:t>
      </w:r>
    </w:p>
    <w:p w14:paraId="01869F90">
      <w:pPr>
        <w:adjustRightInd w:val="0"/>
        <w:snapToGrid w:val="0"/>
        <w:spacing w:line="480" w:lineRule="exact"/>
        <w:ind w:left="-359" w:leftChars="-171" w:firstLine="560" w:firstLineChars="200"/>
        <w:jc w:val="left"/>
        <w:outlineLvl w:val="3"/>
        <w:rPr>
          <w:rFonts w:asciiTheme="minorEastAsia" w:hAnsiTheme="minorEastAsia"/>
          <w:sz w:val="28"/>
          <w:szCs w:val="28"/>
        </w:rPr>
      </w:pPr>
    </w:p>
    <w:p w14:paraId="3071833B">
      <w:pPr>
        <w:numPr>
          <w:ilvl w:val="0"/>
          <w:numId w:val="1"/>
        </w:numPr>
        <w:adjustRightInd w:val="0"/>
        <w:snapToGrid w:val="0"/>
        <w:spacing w:line="480" w:lineRule="exact"/>
        <w:jc w:val="center"/>
        <w:outlineLvl w:val="3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重点课题</w:t>
      </w:r>
    </w:p>
    <w:p w14:paraId="5C94361C">
      <w:pPr>
        <w:adjustRightInd w:val="0"/>
        <w:snapToGrid w:val="0"/>
        <w:spacing w:line="480" w:lineRule="exact"/>
        <w:ind w:left="180"/>
        <w:outlineLvl w:val="3"/>
        <w:rPr>
          <w:rFonts w:asciiTheme="minorEastAsia" w:hAnsiTheme="minorEastAsia"/>
          <w:b/>
          <w:sz w:val="28"/>
          <w:szCs w:val="28"/>
        </w:rPr>
      </w:pPr>
    </w:p>
    <w:p w14:paraId="230B093D">
      <w:pPr>
        <w:adjustRightInd w:val="0"/>
        <w:snapToGrid w:val="0"/>
        <w:spacing w:line="480" w:lineRule="exact"/>
        <w:jc w:val="left"/>
        <w:outlineLvl w:val="3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（一）非营利性民办幼儿园良性发展的机制研究</w:t>
      </w:r>
    </w:p>
    <w:p w14:paraId="4B2E7D15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（二）学前教育质量评价体系构建研究</w:t>
      </w:r>
    </w:p>
    <w:p w14:paraId="7E99EAFB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（三）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幼儿园区域活动创设与指导研究</w:t>
      </w:r>
    </w:p>
    <w:p w14:paraId="155BF8B7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（四）</w:t>
      </w:r>
      <w:r>
        <w:rPr>
          <w:rFonts w:asciiTheme="minorEastAsia" w:hAnsiTheme="minorEastAsia"/>
          <w:sz w:val="28"/>
          <w:szCs w:val="28"/>
        </w:rPr>
        <w:t>普惠性幼儿园</w:t>
      </w:r>
      <w:r>
        <w:rPr>
          <w:rFonts w:hint="eastAsia" w:asciiTheme="minorEastAsia" w:hAnsiTheme="minorEastAsia"/>
          <w:sz w:val="28"/>
          <w:szCs w:val="28"/>
        </w:rPr>
        <w:t>的基本</w:t>
      </w:r>
      <w:r>
        <w:rPr>
          <w:rFonts w:asciiTheme="minorEastAsia" w:hAnsiTheme="minorEastAsia"/>
          <w:sz w:val="28"/>
          <w:szCs w:val="28"/>
        </w:rPr>
        <w:t>标准</w:t>
      </w:r>
      <w:r>
        <w:rPr>
          <w:rFonts w:hint="eastAsia" w:asciiTheme="minorEastAsia" w:hAnsiTheme="minorEastAsia"/>
          <w:sz w:val="28"/>
          <w:szCs w:val="28"/>
        </w:rPr>
        <w:t>和维持体系研究</w:t>
      </w:r>
    </w:p>
    <w:p w14:paraId="4E0F3F8D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(五) 政府主导发展学前教育的实践模式研究</w:t>
      </w:r>
    </w:p>
    <w:p w14:paraId="469674B9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</w:p>
    <w:p w14:paraId="6B924D37">
      <w:pPr>
        <w:adjustRightInd w:val="0"/>
        <w:snapToGrid w:val="0"/>
        <w:spacing w:line="480" w:lineRule="exact"/>
        <w:jc w:val="center"/>
        <w:rPr>
          <w:rFonts w:asciiTheme="minorEastAsia" w:hAnsi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/>
          <w:b/>
          <w:color w:val="auto"/>
          <w:sz w:val="28"/>
          <w:szCs w:val="28"/>
        </w:rPr>
        <w:t>三、区域活动实验专项课题</w:t>
      </w:r>
    </w:p>
    <w:p w14:paraId="281CFD75">
      <w:pPr>
        <w:adjustRightInd w:val="0"/>
        <w:snapToGrid w:val="0"/>
        <w:spacing w:line="480" w:lineRule="exact"/>
        <w:jc w:val="center"/>
        <w:rPr>
          <w:rFonts w:asciiTheme="minorEastAsia" w:hAnsiTheme="minorEastAsia"/>
          <w:b/>
          <w:color w:val="auto"/>
          <w:sz w:val="28"/>
          <w:szCs w:val="28"/>
        </w:rPr>
      </w:pPr>
    </w:p>
    <w:p w14:paraId="621AC820">
      <w:pPr>
        <w:spacing w:line="480" w:lineRule="exact"/>
        <w:ind w:firstLine="560" w:firstLineChars="200"/>
        <w:rPr>
          <w:rFonts w:cs="Arial" w:asciiTheme="minorEastAsia" w:hAnsiTheme="minorEastAsia"/>
          <w:b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说明：专项课题申报单位应为“湖南省幼儿园区域活动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研究</w:t>
      </w:r>
      <w:r>
        <w:rPr>
          <w:rFonts w:hint="eastAsia" w:asciiTheme="minorEastAsia" w:hAnsiTheme="minorEastAsia"/>
          <w:color w:val="auto"/>
          <w:sz w:val="28"/>
          <w:szCs w:val="28"/>
        </w:rPr>
        <w:t>”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课题</w:t>
      </w:r>
      <w:r>
        <w:rPr>
          <w:rFonts w:hint="eastAsia" w:asciiTheme="minorEastAsia" w:hAnsiTheme="minorEastAsia"/>
          <w:color w:val="auto"/>
          <w:sz w:val="28"/>
          <w:szCs w:val="28"/>
        </w:rPr>
        <w:t>实验园，且实验园区域活动立项课题将作为《湖南省幼儿园区域活动本土化研究》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课题</w:t>
      </w:r>
      <w:r>
        <w:rPr>
          <w:rFonts w:hint="eastAsia" w:asciiTheme="minorEastAsia" w:hAnsiTheme="minorEastAsia"/>
          <w:color w:val="auto"/>
          <w:sz w:val="28"/>
          <w:szCs w:val="28"/>
        </w:rPr>
        <w:t>的子课题。有意愿加入“湖南省幼儿园区域活动研究”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课题的</w:t>
      </w:r>
      <w:r>
        <w:rPr>
          <w:rFonts w:hint="eastAsia" w:asciiTheme="minorEastAsia" w:hAnsiTheme="minorEastAsia"/>
          <w:color w:val="auto"/>
          <w:sz w:val="28"/>
          <w:szCs w:val="28"/>
        </w:rPr>
        <w:t>幼儿园，可到“幼学汇”微信公众号搜索湘学前学会[2019]25号文件：《关于“湖南省幼儿园区域活动研究”下阶段工作计划与任务的通知》进行报名申请。</w:t>
      </w:r>
    </w:p>
    <w:p w14:paraId="12B868AD">
      <w:pPr>
        <w:numPr>
          <w:ilvl w:val="0"/>
          <w:numId w:val="2"/>
        </w:numPr>
        <w:spacing w:line="360" w:lineRule="auto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幼儿园重点区域研究</w:t>
      </w:r>
    </w:p>
    <w:p w14:paraId="0D2CCA45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1.幼儿园语言区材料投放与教师观察指导研究</w:t>
      </w:r>
    </w:p>
    <w:p w14:paraId="4FFA6BFD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2.幼儿园科学区材料投放与教师观察指导研究</w:t>
      </w:r>
    </w:p>
    <w:p w14:paraId="140032A7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3.幼儿园美工区材料投放与教师观察指导研究</w:t>
      </w:r>
    </w:p>
    <w:p w14:paraId="420B527B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4.幼儿园表演区材料投放与教师观察指导研究</w:t>
      </w:r>
    </w:p>
    <w:p w14:paraId="28AAE15B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5.幼儿园建构区材料投放与教师观察指导研究</w:t>
      </w:r>
    </w:p>
    <w:p w14:paraId="3D1735FA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6.幼儿园角色区材料投放与教师观察指导研究</w:t>
      </w:r>
    </w:p>
    <w:p w14:paraId="7C56AD69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7.幼儿园运动区材料投放与教师观察指导研究</w:t>
      </w:r>
    </w:p>
    <w:p w14:paraId="5691A1BD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8.幼儿园生活区材料投放与教师观察指导研究</w:t>
      </w:r>
    </w:p>
    <w:p w14:paraId="562AF677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9.幼儿园种植区材料投放与教师观察指导研究</w:t>
      </w:r>
    </w:p>
    <w:p w14:paraId="15E6FDD0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10.幼儿园沙水区材料投放与教师观察指导研究</w:t>
      </w:r>
    </w:p>
    <w:p w14:paraId="4CC61A34">
      <w:pPr>
        <w:numPr>
          <w:ilvl w:val="0"/>
          <w:numId w:val="2"/>
        </w:numPr>
        <w:spacing w:line="360" w:lineRule="auto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幼儿园区域活动中的幼儿学习与发展研究</w:t>
      </w:r>
    </w:p>
    <w:p w14:paraId="4179634A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1.幼儿园区域活动中幼儿深度学习机制与策略的研究</w:t>
      </w:r>
    </w:p>
    <w:p w14:paraId="75F286E4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2.幼儿园区域活动中幼儿问题解决能力培养研究</w:t>
      </w:r>
    </w:p>
    <w:p w14:paraId="68B3A072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 xml:space="preserve">3.幼儿园区域活动同伴互动行为研究 </w:t>
      </w:r>
    </w:p>
    <w:p w14:paraId="39E359E3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4.幼儿园区域活动中幼儿自主性培养研究</w:t>
      </w:r>
    </w:p>
    <w:p w14:paraId="7D0D4933">
      <w:pPr>
        <w:numPr>
          <w:ilvl w:val="0"/>
          <w:numId w:val="2"/>
        </w:numPr>
        <w:spacing w:line="360" w:lineRule="auto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幼儿园主题性区域活动研究</w:t>
      </w:r>
    </w:p>
    <w:p w14:paraId="71873125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1.幼儿园主题区域活动的设计与组织实施研究</w:t>
      </w:r>
    </w:p>
    <w:p w14:paraId="6D74D674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2.幼儿园主题性区域活动材料设计与研发研究</w:t>
      </w:r>
    </w:p>
    <w:p w14:paraId="388234B7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3.幼儿园主题性区域活动资源开发与利用研究</w:t>
      </w:r>
    </w:p>
    <w:p w14:paraId="75044365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4.幼儿园主题性区域活动中区域联动机制与策略的研究</w:t>
      </w:r>
    </w:p>
    <w:p w14:paraId="112E1FAC">
      <w:pPr>
        <w:spacing w:line="360" w:lineRule="auto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（四）幼儿园区域活动的观察与介入研究</w:t>
      </w:r>
    </w:p>
    <w:p w14:paraId="7AD26473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1.幼儿园区域活动观察与记录研究</w:t>
      </w:r>
    </w:p>
    <w:p w14:paraId="5BF60BA5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2.幼儿园区域活动幼儿行为解读研究</w:t>
      </w:r>
    </w:p>
    <w:p w14:paraId="1C77A40A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3.幼儿园区域活动教师语言指导策略研究</w:t>
      </w:r>
    </w:p>
    <w:p w14:paraId="62F38E16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4.幼儿园区域活动教师行为指导策略研究</w:t>
      </w:r>
    </w:p>
    <w:p w14:paraId="22E0C5C5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5.幼儿园区域活动教师隐性支持策略研究</w:t>
      </w:r>
    </w:p>
    <w:p w14:paraId="52154152">
      <w:pPr>
        <w:spacing w:line="360" w:lineRule="auto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6.幼儿园区域活动师幼互动有效性研究</w:t>
      </w:r>
    </w:p>
    <w:p w14:paraId="3A73334B">
      <w:pPr>
        <w:spacing w:line="360" w:lineRule="auto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（五）幼儿园区域活动园本教研与培训研究</w:t>
      </w:r>
    </w:p>
    <w:p w14:paraId="3D5F6876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="宋体" w:hAnsi="宋体"/>
          <w:bCs/>
          <w:color w:val="auto"/>
          <w:sz w:val="28"/>
          <w:szCs w:val="28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</w:rPr>
        <w:t>.幼儿园区域活动一日生活组织流程研究</w:t>
      </w:r>
    </w:p>
    <w:p w14:paraId="10AB465B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2.幼儿园区域活动园本教研模式研究</w:t>
      </w:r>
    </w:p>
    <w:p w14:paraId="6A12EBE5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3.幼儿园区域活动教师队伍建设与管理研究</w:t>
      </w:r>
    </w:p>
    <w:p w14:paraId="38BEF54D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4.幼儿园各活动区一般组织流程研究</w:t>
      </w:r>
    </w:p>
    <w:p w14:paraId="31F4F2F8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5.幼儿园各活动区关键经验研究</w:t>
      </w:r>
    </w:p>
    <w:p w14:paraId="5BB81E0F">
      <w:pPr>
        <w:snapToGrid w:val="0"/>
        <w:spacing w:line="48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6.幼儿园区域活动教师反思能力培养研究</w:t>
      </w:r>
    </w:p>
    <w:p w14:paraId="28B28E51">
      <w:pPr>
        <w:spacing w:line="360" w:lineRule="auto"/>
        <w:rPr>
          <w:rFonts w:eastAsia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（六）幼儿园区域活动的评价研究</w:t>
      </w:r>
    </w:p>
    <w:p w14:paraId="55FA753E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color w:val="auto"/>
          <w:kern w:val="0"/>
          <w:sz w:val="28"/>
          <w:szCs w:val="28"/>
        </w:rPr>
        <w:t>1.幼儿园区域活动环境创设评价研究</w:t>
      </w:r>
    </w:p>
    <w:p w14:paraId="4D0D83B1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color w:val="auto"/>
          <w:kern w:val="0"/>
          <w:sz w:val="28"/>
          <w:szCs w:val="28"/>
        </w:rPr>
        <w:t>2.幼儿园区域活动材料投放评价研究</w:t>
      </w:r>
    </w:p>
    <w:p w14:paraId="016A8AF2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color w:val="auto"/>
          <w:kern w:val="0"/>
          <w:sz w:val="28"/>
          <w:szCs w:val="28"/>
        </w:rPr>
        <w:t>3.幼儿园区域活动幼儿活动评价研究</w:t>
      </w:r>
    </w:p>
    <w:p w14:paraId="1DC02AB5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color w:val="auto"/>
          <w:kern w:val="0"/>
          <w:sz w:val="28"/>
          <w:szCs w:val="28"/>
        </w:rPr>
        <w:t>4.幼儿园区域活动教师指导评价研究</w:t>
      </w:r>
    </w:p>
    <w:p w14:paraId="22F2EFCC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color w:val="auto"/>
          <w:kern w:val="0"/>
          <w:sz w:val="28"/>
          <w:szCs w:val="28"/>
        </w:rPr>
      </w:pPr>
    </w:p>
    <w:p w14:paraId="5D0A0561">
      <w:pPr>
        <w:adjustRightInd w:val="0"/>
        <w:snapToGrid w:val="0"/>
        <w:spacing w:line="480" w:lineRule="exact"/>
        <w:jc w:val="center"/>
        <w:outlineLvl w:val="3"/>
        <w:rPr>
          <w:rFonts w:asciiTheme="minorEastAsia" w:hAnsi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/>
          <w:b/>
          <w:color w:val="auto"/>
          <w:sz w:val="28"/>
          <w:szCs w:val="28"/>
        </w:rPr>
        <w:t>四、建议的一般课题</w:t>
      </w:r>
    </w:p>
    <w:p w14:paraId="61D605A6">
      <w:pPr>
        <w:adjustRightInd w:val="0"/>
        <w:snapToGrid w:val="0"/>
        <w:spacing w:line="480" w:lineRule="exact"/>
        <w:jc w:val="center"/>
        <w:outlineLvl w:val="3"/>
        <w:rPr>
          <w:rFonts w:cs="Arial" w:asciiTheme="minorEastAsia" w:hAnsiTheme="minorEastAsia"/>
          <w:b/>
          <w:color w:val="auto"/>
          <w:kern w:val="0"/>
          <w:sz w:val="28"/>
          <w:szCs w:val="28"/>
        </w:rPr>
      </w:pPr>
    </w:p>
    <w:p w14:paraId="0A151EA5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color w:val="auto"/>
          <w:kern w:val="0"/>
          <w:sz w:val="28"/>
          <w:szCs w:val="28"/>
        </w:rPr>
        <w:t>（一）学前教育事业发展与管理</w:t>
      </w:r>
    </w:p>
    <w:p w14:paraId="3207213A">
      <w:pPr>
        <w:adjustRightInd w:val="0"/>
        <w:snapToGrid w:val="0"/>
        <w:spacing w:line="480" w:lineRule="exact"/>
        <w:ind w:firstLine="560" w:firstLineChars="200"/>
        <w:jc w:val="left"/>
        <w:rPr>
          <w:rFonts w:cs="宋体" w:asciiTheme="minorEastAsia" w:hAnsiTheme="minorEastAsia"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本方向涉及学前教育事业发展现状，存在的主要问题，各地针对具体的问题进行的政策探究和实践探索；幼儿园发展的现状和存在的问题，在幼儿园管理过程中针对具体问题开展的研究和探索；学前教育机构保教质量评价与监控的研究。</w:t>
      </w:r>
    </w:p>
    <w:p w14:paraId="752D0414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1</w:t>
      </w:r>
      <w:r>
        <w:rPr>
          <w:rFonts w:cs="宋体" w:asciiTheme="minorEastAsia" w:hAnsiTheme="minorEastAsia"/>
          <w:color w:val="auto"/>
          <w:kern w:val="0"/>
          <w:sz w:val="28"/>
          <w:szCs w:val="28"/>
        </w:rPr>
        <w:t xml:space="preserve">. 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区域学前教育事业发展的现状、问题及对策研究</w:t>
      </w:r>
    </w:p>
    <w:p w14:paraId="44774328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2. 学前教育事业发展规划的编制与执行研究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 </w:t>
      </w:r>
    </w:p>
    <w:p w14:paraId="5089A04C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cs="宋体" w:asciiTheme="minorEastAsia" w:hAnsiTheme="minorEastAsia"/>
          <w:kern w:val="0"/>
          <w:sz w:val="28"/>
          <w:szCs w:val="28"/>
        </w:rPr>
        <w:t>3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.</w:t>
      </w:r>
      <w:r>
        <w:rPr>
          <w:rFonts w:cs="宋体" w:asciiTheme="minorEastAsia" w:hAnsiTheme="minorEastAsia"/>
          <w:kern w:val="0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学前教育管理体制与机制的历史、现状、问题与对策研究   </w:t>
      </w:r>
    </w:p>
    <w:p w14:paraId="13FF271E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4．民办幼儿园的发展与管理研究    </w:t>
      </w:r>
    </w:p>
    <w:p w14:paraId="7783D733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5．以社区为依托发展早期教育的研究    </w:t>
      </w:r>
    </w:p>
    <w:p w14:paraId="1F46E63F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6．小区配套幼儿园的建设与管理研究    </w:t>
      </w:r>
    </w:p>
    <w:p w14:paraId="47BD8A2C">
      <w:pPr>
        <w:adjustRightInd w:val="0"/>
        <w:snapToGrid w:val="0"/>
        <w:spacing w:line="480" w:lineRule="exac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7．发展农村学前教育的途径与方法研究</w:t>
      </w:r>
    </w:p>
    <w:p w14:paraId="2C23BE5A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8．学前教育机构分级分类管理与质量监控研究    </w:t>
      </w:r>
    </w:p>
    <w:p w14:paraId="1CB0FC6A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9.</w:t>
      </w:r>
      <w:r>
        <w:rPr>
          <w:rFonts w:cs="宋体" w:asciiTheme="minorEastAsia" w:hAnsiTheme="minorEastAsia"/>
          <w:kern w:val="0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发展少数民族地区学前教育的途径与支持性政策研究</w:t>
      </w:r>
    </w:p>
    <w:p w14:paraId="73C42E57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10．各级教研部门的职能与作用发挥机制研究</w:t>
      </w:r>
    </w:p>
    <w:p w14:paraId="06B4BA84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11．幼儿园人力资源管理问题的研究    </w:t>
      </w:r>
    </w:p>
    <w:p w14:paraId="337F34EE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12．幼儿园文化建设的研究    </w:t>
      </w:r>
    </w:p>
    <w:p w14:paraId="5EE02DB5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13．幼儿园安全管理的研究</w:t>
      </w:r>
    </w:p>
    <w:p w14:paraId="01977DF3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14．示范性幼儿园在“广覆盖保基本”的公共学前教育体系中的位置与作用研究</w:t>
      </w:r>
    </w:p>
    <w:p w14:paraId="797D6438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15. 学前教育拨款使用效率研究</w:t>
      </w:r>
    </w:p>
    <w:p w14:paraId="7C487F86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16．县域农村学前教育发展机制改革研究</w:t>
      </w:r>
    </w:p>
    <w:p w14:paraId="6B01D6A3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</w:p>
    <w:p w14:paraId="5B6EAF71">
      <w:pPr>
        <w:adjustRightInd w:val="0"/>
        <w:snapToGrid w:val="0"/>
        <w:spacing w:line="480" w:lineRule="exact"/>
        <w:rPr>
          <w:rFonts w:cs="宋体"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kern w:val="0"/>
          <w:sz w:val="28"/>
          <w:szCs w:val="28"/>
        </w:rPr>
        <w:t>（二）学前儿童发展与教育</w:t>
      </w:r>
    </w:p>
    <w:p w14:paraId="75E8201F">
      <w:pPr>
        <w:adjustRightInd w:val="0"/>
        <w:snapToGrid w:val="0"/>
        <w:spacing w:line="480" w:lineRule="exact"/>
        <w:ind w:firstLine="560" w:firstLineChars="200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本方向涉及学前儿童身体、认知、情感和社会性等方面的发展，以及各种有利于学前儿童发展的培养策略的研究。</w:t>
      </w:r>
    </w:p>
    <w:p w14:paraId="0CE16AF2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1.</w:t>
      </w:r>
      <w:r>
        <w:rPr>
          <w:rFonts w:cs="宋体" w:asciiTheme="minorEastAsia" w:hAnsiTheme="minorEastAsia"/>
          <w:bCs/>
          <w:kern w:val="0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幼儿读图能力发展与绘本教学研究</w:t>
      </w:r>
    </w:p>
    <w:p w14:paraId="4547C6E8">
      <w:pPr>
        <w:adjustRightInd w:val="0"/>
        <w:snapToGrid w:val="0"/>
        <w:spacing w:line="480" w:lineRule="exact"/>
        <w:ind w:left="420" w:hanging="420" w:hanging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2．幼儿科学领域的“核心经验”及其获得方式研究</w:t>
      </w:r>
    </w:p>
    <w:p w14:paraId="32EFAB69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3．幼儿对于数量关系的理解及其数学思维能力培养研究</w:t>
      </w:r>
    </w:p>
    <w:p w14:paraId="3194A38F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4．幼儿数学操作性学习及其教学策略研究</w:t>
      </w:r>
    </w:p>
    <w:p w14:paraId="354247DB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5．幼儿创造力发展的支持性策略研究</w:t>
      </w:r>
    </w:p>
    <w:p w14:paraId="27CB7568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6．幼儿审美能力与创造力的发展实践研究</w:t>
      </w:r>
    </w:p>
    <w:p w14:paraId="24A01DF4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7．幼儿园汉语和少数民族语言双语教学研究</w:t>
      </w:r>
    </w:p>
    <w:p w14:paraId="52668120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8．幼儿自我概念获得方式的研究</w:t>
      </w:r>
    </w:p>
    <w:p w14:paraId="7B0F2C8D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9．不同依恋关系的幼儿入园适应教育方案研究</w:t>
      </w:r>
    </w:p>
    <w:p w14:paraId="1EBD3990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10．幼儿自我控制能力的培养研究</w:t>
      </w:r>
    </w:p>
    <w:p w14:paraId="3F9A1731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11．有特殊需要幼儿的教育干预方案研究</w:t>
      </w:r>
    </w:p>
    <w:p w14:paraId="02E2BBCC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12．婴幼儿情感情绪表现及教师回应策略的研究</w:t>
      </w:r>
    </w:p>
    <w:p w14:paraId="75148F99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13．幼儿合作能力培养的研究</w:t>
      </w:r>
    </w:p>
    <w:p w14:paraId="51CF8E19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14．幼儿对于规则的理解与执行力研究</w:t>
      </w:r>
    </w:p>
    <w:p w14:paraId="2DD12D10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15．幼儿交往的发展特点与培养研究</w:t>
      </w:r>
    </w:p>
    <w:p w14:paraId="27A14B81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16</w:t>
      </w:r>
      <w:r>
        <w:rPr>
          <w:rFonts w:cs="宋体" w:asciiTheme="minorEastAsia" w:hAnsiTheme="minorEastAsia"/>
          <w:bCs/>
          <w:kern w:val="0"/>
          <w:sz w:val="28"/>
          <w:szCs w:val="28"/>
        </w:rPr>
        <w:t xml:space="preserve">. 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动漫情境中幼儿学习特点与教育研究</w:t>
      </w:r>
    </w:p>
    <w:p w14:paraId="7BBE3EA3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17.</w:t>
      </w:r>
      <w:r>
        <w:rPr>
          <w:rFonts w:cs="宋体" w:asciiTheme="minorEastAsia" w:hAnsiTheme="minorEastAsia"/>
          <w:bCs/>
          <w:kern w:val="0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幼儿观点采择能力发展与培养研究</w:t>
      </w:r>
    </w:p>
    <w:p w14:paraId="0516D383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</w:p>
    <w:p w14:paraId="1B5A5A2D">
      <w:pPr>
        <w:adjustRightInd w:val="0"/>
        <w:snapToGrid w:val="0"/>
        <w:spacing w:line="480" w:lineRule="exact"/>
        <w:rPr>
          <w:rFonts w:cs="宋体"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kern w:val="0"/>
          <w:sz w:val="28"/>
          <w:szCs w:val="28"/>
        </w:rPr>
        <w:t>(三)幼儿园健康与安全教育</w:t>
      </w:r>
    </w:p>
    <w:p w14:paraId="42B9C650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1．幼儿园安全制度建设现状与对策研究</w:t>
      </w:r>
    </w:p>
    <w:p w14:paraId="64B5BB4F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2．幼儿园保育保健质量评估体系研究</w:t>
      </w:r>
    </w:p>
    <w:p w14:paraId="3C2B910C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3．幼儿健康行为与健康教育研究</w:t>
      </w:r>
    </w:p>
    <w:p w14:paraId="3F5F6CD7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4．0-3岁幼儿的健康教育研究</w:t>
      </w:r>
    </w:p>
    <w:p w14:paraId="166E51FF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5．农村幼儿的健康现状与教育研究</w:t>
      </w:r>
    </w:p>
    <w:p w14:paraId="3C33A555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6．幼儿户外体育锻炼研究</w:t>
      </w:r>
    </w:p>
    <w:p w14:paraId="2FEF216B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7．幼儿体育与幼儿安全研究</w:t>
      </w:r>
    </w:p>
    <w:p w14:paraId="136030BA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8．幼儿园保健医生的专业发展研究（调整）</w:t>
      </w:r>
    </w:p>
    <w:p w14:paraId="64EF8331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9．幼儿安全教育问题的研究</w:t>
      </w:r>
    </w:p>
    <w:p w14:paraId="7863E2AC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10．幼儿自我保护能力发展特点及其教育活动设计研究</w:t>
      </w:r>
    </w:p>
    <w:p w14:paraId="0E35E8C6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11．因地制宜开展体育活动实践研究</w:t>
      </w:r>
    </w:p>
    <w:p w14:paraId="031F482A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12．以情境为导向的体育活动的实践研究</w:t>
      </w:r>
    </w:p>
    <w:p w14:paraId="4E4F958D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13.幼儿园健康教育机制及其有效运行研究</w:t>
      </w:r>
    </w:p>
    <w:p w14:paraId="2972B10E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14.农村幼儿园营养监控与保障研究</w:t>
      </w:r>
    </w:p>
    <w:p w14:paraId="2ACB2B6C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15.农村幼儿不良卫生习惯的形成原因与矫正策略研究</w:t>
      </w:r>
    </w:p>
    <w:p w14:paraId="7895712D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16.废旧物品利用过程中卫生安全问题及其对策研究</w:t>
      </w:r>
    </w:p>
    <w:p w14:paraId="1A627325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17.保育员健康教育素养及其培养研究</w:t>
      </w:r>
    </w:p>
    <w:p w14:paraId="1337B190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18.幼儿心理健康教育途径与方法研究</w:t>
      </w:r>
    </w:p>
    <w:p w14:paraId="7509CF5F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</w:p>
    <w:p w14:paraId="6B51EB42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kern w:val="0"/>
          <w:sz w:val="28"/>
          <w:szCs w:val="28"/>
        </w:rPr>
        <w:t>（四）幼儿园课程</w:t>
      </w:r>
    </w:p>
    <w:p w14:paraId="4B5887E9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1．幼儿园课程方案的审核与监管研究</w:t>
      </w:r>
    </w:p>
    <w:p w14:paraId="0CAC4CF8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2．幼儿园课程评价与监测体系建设研究</w:t>
      </w:r>
    </w:p>
    <w:p w14:paraId="27A09424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3．农村幼儿园课程现状调查研究</w:t>
      </w:r>
    </w:p>
    <w:p w14:paraId="0FA78191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4．幼儿园与小学教学内容与方法的衔接状况与改进研究</w:t>
      </w:r>
    </w:p>
    <w:p w14:paraId="7DD984F9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5．农村学前一年混龄教育课程研究</w:t>
      </w:r>
    </w:p>
    <w:p w14:paraId="635D99D9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6. 幼儿园课程资源创造性开发与利用研究</w:t>
      </w:r>
    </w:p>
    <w:p w14:paraId="71CCBB5B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7．幼儿园集体教学活动的适宜性与有效性研究</w:t>
      </w:r>
    </w:p>
    <w:p w14:paraId="35CFF562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9．幼儿园多媒体教学手段的合理运用研究</w:t>
      </w:r>
    </w:p>
    <w:p w14:paraId="3313312A">
      <w:pPr>
        <w:adjustRightInd w:val="0"/>
        <w:snapToGrid w:val="0"/>
        <w:spacing w:line="480" w:lineRule="exac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10．幼儿园课程管理研究</w:t>
      </w:r>
    </w:p>
    <w:p w14:paraId="09B7489C">
      <w:pPr>
        <w:adjustRightInd w:val="0"/>
        <w:snapToGrid w:val="0"/>
        <w:spacing w:line="480" w:lineRule="exac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11．不同经济文化背景下幼儿园课程的适宜性研究</w:t>
      </w:r>
    </w:p>
    <w:p w14:paraId="3D583571">
      <w:pPr>
        <w:adjustRightInd w:val="0"/>
        <w:snapToGrid w:val="0"/>
        <w:spacing w:line="480" w:lineRule="exac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12．幼儿园活动区活动的现状、问题与对策研究</w:t>
      </w:r>
    </w:p>
    <w:p w14:paraId="0C5FC8E9">
      <w:pPr>
        <w:adjustRightInd w:val="0"/>
        <w:snapToGrid w:val="0"/>
        <w:spacing w:line="480" w:lineRule="exac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13．运用动态评价指导幼儿学习的研究</w:t>
      </w:r>
    </w:p>
    <w:p w14:paraId="2CE004AE">
      <w:pPr>
        <w:adjustRightInd w:val="0"/>
        <w:snapToGrid w:val="0"/>
        <w:spacing w:line="480" w:lineRule="exac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14．整合观念下各领域教育有机联系、相互渗透研究</w:t>
      </w:r>
    </w:p>
    <w:p w14:paraId="7C9CE36A">
      <w:pPr>
        <w:adjustRightInd w:val="0"/>
        <w:snapToGrid w:val="0"/>
        <w:spacing w:line="480" w:lineRule="exac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15．各领域教育实施的有效途径和方法研究</w:t>
      </w:r>
    </w:p>
    <w:p w14:paraId="1ECB669E">
      <w:pPr>
        <w:adjustRightInd w:val="0"/>
        <w:snapToGrid w:val="0"/>
        <w:spacing w:line="480" w:lineRule="exact"/>
        <w:ind w:left="-540" w:leftChars="-257" w:firstLine="48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16.教育性动漫的开发及其在幼儿园教学中运用的研究</w:t>
      </w:r>
    </w:p>
    <w:p w14:paraId="3DDDB582">
      <w:pPr>
        <w:adjustRightInd w:val="0"/>
        <w:snapToGrid w:val="0"/>
        <w:spacing w:line="480" w:lineRule="exact"/>
        <w:ind w:left="-540" w:leftChars="-257" w:firstLine="48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17.多元整合教育活动的设计与指导研究</w:t>
      </w:r>
    </w:p>
    <w:p w14:paraId="55A95200">
      <w:pPr>
        <w:adjustRightInd w:val="0"/>
        <w:snapToGrid w:val="0"/>
        <w:spacing w:line="480" w:lineRule="exact"/>
        <w:ind w:left="-540" w:leftChars="-257" w:firstLine="48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18.特色化亲子教育课程的效能研究</w:t>
      </w:r>
    </w:p>
    <w:p w14:paraId="4254735C">
      <w:pPr>
        <w:adjustRightInd w:val="0"/>
        <w:snapToGrid w:val="0"/>
        <w:spacing w:line="480" w:lineRule="exact"/>
        <w:ind w:left="-540" w:leftChars="-257" w:firstLine="480"/>
        <w:jc w:val="left"/>
        <w:rPr>
          <w:rFonts w:cs="宋体" w:asciiTheme="minorEastAsia" w:hAnsiTheme="minorEastAsia"/>
          <w:kern w:val="0"/>
          <w:sz w:val="28"/>
          <w:szCs w:val="28"/>
        </w:rPr>
      </w:pPr>
    </w:p>
    <w:p w14:paraId="65E9C626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kern w:val="0"/>
          <w:sz w:val="28"/>
          <w:szCs w:val="28"/>
        </w:rPr>
        <w:t>（五）游戏与玩具研究</w:t>
      </w:r>
    </w:p>
    <w:p w14:paraId="43BA7116">
      <w:pPr>
        <w:adjustRightInd w:val="0"/>
        <w:snapToGrid w:val="0"/>
        <w:spacing w:line="480" w:lineRule="exact"/>
        <w:ind w:firstLine="560" w:firstLineChars="200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幼儿园游戏的现状与问题，幼儿园游戏的创新与发展，游戏材料的开发与利用，幼儿园教玩具的开发与利用等研究。</w:t>
      </w:r>
    </w:p>
    <w:p w14:paraId="37C8D995">
      <w:pPr>
        <w:adjustRightInd w:val="0"/>
        <w:snapToGrid w:val="0"/>
        <w:spacing w:line="480" w:lineRule="exact"/>
        <w:ind w:left="-359" w:leftChars="-171" w:firstLine="420" w:firstLineChars="15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1．民间游戏引入幼儿园教育的研究</w:t>
      </w:r>
    </w:p>
    <w:p w14:paraId="66A4AAB3">
      <w:pPr>
        <w:adjustRightInd w:val="0"/>
        <w:snapToGrid w:val="0"/>
        <w:spacing w:line="480" w:lineRule="exact"/>
        <w:ind w:left="-359" w:leftChars="-171" w:firstLine="420" w:firstLineChars="15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2．幼儿园玩教具基本配置的研究 </w:t>
      </w:r>
    </w:p>
    <w:p w14:paraId="2AB9D248">
      <w:pPr>
        <w:adjustRightInd w:val="0"/>
        <w:snapToGrid w:val="0"/>
        <w:spacing w:line="480" w:lineRule="exact"/>
        <w:ind w:left="-359" w:leftChars="-171" w:firstLine="420" w:firstLineChars="15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3．游戏资源及其开发的研究</w:t>
      </w:r>
    </w:p>
    <w:p w14:paraId="4902D2D1">
      <w:pPr>
        <w:adjustRightInd w:val="0"/>
        <w:snapToGrid w:val="0"/>
        <w:spacing w:line="480" w:lineRule="exact"/>
        <w:ind w:left="-359" w:leftChars="-171" w:firstLine="420" w:firstLineChars="15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4．有特殊需要儿童的支持性游戏研究</w:t>
      </w:r>
    </w:p>
    <w:p w14:paraId="3179F496">
      <w:pPr>
        <w:adjustRightInd w:val="0"/>
        <w:snapToGrid w:val="0"/>
        <w:spacing w:line="480" w:lineRule="exact"/>
        <w:ind w:left="-359" w:leftChars="-171" w:firstLine="420" w:firstLineChars="15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5．不同年龄段幼儿游戏特点及教育策略的研究</w:t>
      </w:r>
    </w:p>
    <w:p w14:paraId="6999D036">
      <w:pPr>
        <w:adjustRightInd w:val="0"/>
        <w:snapToGrid w:val="0"/>
        <w:spacing w:line="480" w:lineRule="exact"/>
        <w:ind w:left="-359" w:leftChars="-171" w:firstLine="420" w:firstLineChars="15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6．游戏中的幼儿学习、发展评估与教育支持研究</w:t>
      </w:r>
    </w:p>
    <w:p w14:paraId="4613DF01">
      <w:pPr>
        <w:adjustRightInd w:val="0"/>
        <w:snapToGrid w:val="0"/>
        <w:spacing w:line="480" w:lineRule="exact"/>
        <w:ind w:left="-359" w:leftChars="-171" w:firstLine="420" w:firstLineChars="15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7．不同年龄班角色游戏中模拟实物与替代物作用与效果的比较研究</w:t>
      </w:r>
    </w:p>
    <w:p w14:paraId="24CC1D48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8．不同结构游戏材料与幼儿游戏行为的关系研究</w:t>
      </w:r>
    </w:p>
    <w:p w14:paraId="43D64FA4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9．结构游戏材料的投放方式与游戏中的数学经验研究</w:t>
      </w:r>
    </w:p>
    <w:p w14:paraId="1024777E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10．沙水游戏的辅助材料投放与游戏中的科学经验研究</w:t>
      </w:r>
    </w:p>
    <w:p w14:paraId="0786A022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11. 幼儿园区域活动指导的适应性策略研究</w:t>
      </w:r>
    </w:p>
    <w:p w14:paraId="5C909360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12．幼儿文学作品鉴赏与表演游戏的开展研究</w:t>
      </w:r>
    </w:p>
    <w:p w14:paraId="4365FD34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13．运动性游戏的挑战性与安全性研究</w:t>
      </w:r>
    </w:p>
    <w:p w14:paraId="166029F1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14．活动区材料的投放方式与幼儿游戏行为的关系（调整）</w:t>
      </w:r>
    </w:p>
    <w:p w14:paraId="74923EC8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15．幼儿合作游戏的年龄特点及其促进研究</w:t>
      </w:r>
    </w:p>
    <w:p w14:paraId="6E0EEA30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16．农村大班额背景下游戏活动的开展研究</w:t>
      </w:r>
    </w:p>
    <w:p w14:paraId="4C88138B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17．混龄幼儿共同游戏的组织与指导研究</w:t>
      </w:r>
    </w:p>
    <w:p w14:paraId="20ACC1AE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18．幼儿自发游戏的观察、支持与引导研究</w:t>
      </w:r>
    </w:p>
    <w:p w14:paraId="6F71B3C5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19.亲子游戏与家庭教育游戏化研究</w:t>
      </w:r>
    </w:p>
    <w:p w14:paraId="51B6034C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20.幼儿机器人游戏与结构游戏的衔接与指导研究</w:t>
      </w:r>
    </w:p>
    <w:p w14:paraId="07AB73CC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21.户外游戏活动研究</w:t>
      </w:r>
    </w:p>
    <w:p w14:paraId="19CD59A0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22.农村幼儿园游戏特点与指导研究</w:t>
      </w:r>
    </w:p>
    <w:p w14:paraId="77E9D884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</w:p>
    <w:p w14:paraId="54679742">
      <w:pPr>
        <w:adjustRightInd w:val="0"/>
        <w:snapToGrid w:val="0"/>
        <w:spacing w:line="480" w:lineRule="exact"/>
        <w:rPr>
          <w:rFonts w:cs="宋体"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kern w:val="0"/>
          <w:sz w:val="28"/>
          <w:szCs w:val="28"/>
        </w:rPr>
        <w:t>（六）家庭、幼儿园、社区协同教育</w:t>
      </w:r>
    </w:p>
    <w:p w14:paraId="47127E63">
      <w:pPr>
        <w:adjustRightInd w:val="0"/>
        <w:snapToGrid w:val="0"/>
        <w:spacing w:line="480" w:lineRule="exact"/>
        <w:ind w:firstLine="560" w:firstLineChars="20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本方向主要涉及幼儿园与家庭、社区在学前教育儿童教育领域的相互支持、协作与配合研究，关注幼儿园、家庭与社会协调教育的现状，研究幼儿园、家庭与社区有效配合的途径与方法。</w:t>
      </w:r>
    </w:p>
    <w:p w14:paraId="39405D7E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1．家、园、社区协同教育研究    </w:t>
      </w:r>
    </w:p>
    <w:p w14:paraId="0ACF2EB6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2. 幼儿园家庭教育指导策略的研究</w:t>
      </w:r>
    </w:p>
    <w:p w14:paraId="5AC9BFBC">
      <w:pPr>
        <w:adjustRightInd w:val="0"/>
        <w:snapToGrid w:val="0"/>
        <w:spacing w:line="480" w:lineRule="exact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3．</w:t>
      </w:r>
      <w:r>
        <w:rPr>
          <w:rFonts w:hint="eastAsia" w:asciiTheme="minorEastAsia" w:hAnsiTheme="minorEastAsia"/>
          <w:bCs/>
          <w:sz w:val="28"/>
          <w:szCs w:val="28"/>
        </w:rPr>
        <w:t>家园沟通中的问题及其改善策略研究</w:t>
      </w:r>
    </w:p>
    <w:p w14:paraId="1AC59F45">
      <w:pPr>
        <w:adjustRightInd w:val="0"/>
        <w:snapToGrid w:val="0"/>
        <w:spacing w:line="480" w:lineRule="exact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4．幼儿园亲子活动的有效性研究</w:t>
      </w:r>
    </w:p>
    <w:p w14:paraId="361AF9F5">
      <w:pPr>
        <w:adjustRightInd w:val="0"/>
        <w:snapToGrid w:val="0"/>
        <w:spacing w:line="480" w:lineRule="exact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5．新入园幼儿家长辅导研究</w:t>
      </w:r>
    </w:p>
    <w:p w14:paraId="5512C954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6．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家庭中玩具的选择、运用与指导研究</w:t>
      </w:r>
    </w:p>
    <w:p w14:paraId="36DAEAD6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7．有特殊需要儿童的早期教育状况与对策的研究</w:t>
      </w:r>
    </w:p>
    <w:p w14:paraId="7713905D">
      <w:pPr>
        <w:adjustRightInd w:val="0"/>
        <w:snapToGrid w:val="0"/>
        <w:spacing w:line="480" w:lineRule="exact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8．</w:t>
      </w:r>
      <w:r>
        <w:rPr>
          <w:rFonts w:hint="eastAsia" w:asciiTheme="minorEastAsia" w:hAnsiTheme="minorEastAsia"/>
          <w:bCs/>
          <w:sz w:val="28"/>
          <w:szCs w:val="28"/>
        </w:rPr>
        <w:t>提高0—3岁儿童家长保教能力的研究</w:t>
      </w:r>
    </w:p>
    <w:p w14:paraId="63AF8CD0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9．缓解新生入园焦虑的对策研究</w:t>
      </w:r>
    </w:p>
    <w:p w14:paraId="496CE1E1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10．提高幼儿家长教育效能感的研究</w:t>
      </w:r>
    </w:p>
    <w:p w14:paraId="4CB72D00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11.隔代抚养问题及其对策研究</w:t>
      </w:r>
    </w:p>
    <w:p w14:paraId="07EE3B58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12.小区幼儿园社区公共资源的创造性利用研究</w:t>
      </w:r>
    </w:p>
    <w:p w14:paraId="23BDCDF3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13.幼儿园家访制度及其运用机制研究</w:t>
      </w:r>
    </w:p>
    <w:p w14:paraId="0288B995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14.农村留守幼儿的健康成长与社会保障研究</w:t>
      </w:r>
    </w:p>
    <w:p w14:paraId="3F341525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15.城市流动幼儿的健康成长与社会保障研究</w:t>
      </w:r>
    </w:p>
    <w:p w14:paraId="7035ECA9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b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kern w:val="0"/>
          <w:sz w:val="28"/>
          <w:szCs w:val="28"/>
        </w:rPr>
        <w:t>（七）教师专业发展与教师教育</w:t>
      </w:r>
    </w:p>
    <w:p w14:paraId="6A8725FF">
      <w:pPr>
        <w:adjustRightInd w:val="0"/>
        <w:snapToGrid w:val="0"/>
        <w:spacing w:line="480" w:lineRule="exact"/>
        <w:ind w:firstLine="560" w:firstLineChars="200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本方向涉及学前教育师资职前培养与职后培训的现状、问题及改革措施研究；学前教育师资的专业成长规律及专业标准研究；各类教师教育机构的课程与教学研究；我国学前教育教师教育体系的建立和完善的研究。</w:t>
      </w:r>
    </w:p>
    <w:p w14:paraId="365AE9F4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1．幼儿教师维护权利途径及效果的研究 </w:t>
      </w:r>
    </w:p>
    <w:p w14:paraId="7D3396F4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2．幼儿园教师的工作状况与工作环境研究</w:t>
      </w:r>
    </w:p>
    <w:p w14:paraId="65A1BEF1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3．专业刊物在幼儿园教师专业发展中的作用</w:t>
      </w:r>
    </w:p>
    <w:p w14:paraId="6189F903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4．幼儿师范院校调整政策及其影响的研究</w:t>
      </w:r>
    </w:p>
    <w:p w14:paraId="515E323D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5．各国幼儿园教师政策、法律及其对我国的启示研究</w:t>
      </w:r>
    </w:p>
    <w:p w14:paraId="68BB2CC3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6．幼儿教师职后培训有效模式的研究</w:t>
      </w:r>
    </w:p>
    <w:p w14:paraId="4E6E16AC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7．教育技术与教师专业成长研究</w:t>
      </w:r>
    </w:p>
    <w:p w14:paraId="242F19DE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8．教师的自身职业规划、职业理想对其发展的研究</w:t>
      </w:r>
    </w:p>
    <w:p w14:paraId="656538A5">
      <w:pPr>
        <w:adjustRightInd w:val="0"/>
        <w:snapToGrid w:val="0"/>
        <w:spacing w:line="480" w:lineRule="exact"/>
        <w:rPr>
          <w:rFonts w:asciiTheme="minorEastAsia" w:hAnsi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kern w:val="0"/>
          <w:sz w:val="28"/>
          <w:szCs w:val="28"/>
        </w:rPr>
        <w:t>9．学前教育专业免费师范生培养与就业情况调查研究</w:t>
      </w:r>
    </w:p>
    <w:p w14:paraId="5F42C874">
      <w:pPr>
        <w:adjustRightInd w:val="0"/>
        <w:snapToGrid w:val="0"/>
        <w:spacing w:line="480" w:lineRule="exact"/>
        <w:rPr>
          <w:rFonts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10．幼儿教师培养培训机构准入机制及标准的研究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      </w:t>
      </w:r>
    </w:p>
    <w:p w14:paraId="6B50E2BC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kern w:val="0"/>
          <w:sz w:val="28"/>
          <w:szCs w:val="28"/>
        </w:rPr>
        <w:t>11．</w:t>
      </w: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幼儿园各类岗位人员的准入的专业标准研究</w:t>
      </w:r>
    </w:p>
    <w:p w14:paraId="559FA242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12．</w:t>
      </w:r>
      <w:r>
        <w:rPr>
          <w:rFonts w:cs="宋体" w:asciiTheme="minorEastAsia" w:hAnsiTheme="minorEastAsia"/>
          <w:bCs/>
          <w:kern w:val="0"/>
          <w:sz w:val="28"/>
          <w:szCs w:val="28"/>
        </w:rPr>
        <w:t>学前教育专业的办学资质与标准化研究</w:t>
      </w:r>
    </w:p>
    <w:p w14:paraId="228AA2CA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13．幼儿园</w:t>
      </w:r>
      <w:r>
        <w:rPr>
          <w:rFonts w:hint="eastAsia" w:asciiTheme="minorEastAsia" w:hAnsiTheme="minorEastAsia"/>
          <w:sz w:val="28"/>
          <w:szCs w:val="28"/>
        </w:rPr>
        <w:t>不同学历学前教育专业毕业生工作适应状况研究</w:t>
      </w:r>
    </w:p>
    <w:p w14:paraId="64723EDB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14．本科与高职院校学前教育专业的教学改革研究</w:t>
      </w:r>
    </w:p>
    <w:p w14:paraId="5AA88D18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15．</w:t>
      </w:r>
      <w:r>
        <w:rPr>
          <w:rFonts w:cs="宋体" w:asciiTheme="minorEastAsia" w:hAnsiTheme="minorEastAsia"/>
          <w:bCs/>
          <w:kern w:val="0"/>
          <w:sz w:val="28"/>
          <w:szCs w:val="28"/>
        </w:rPr>
        <w:t>学前教育本科、高职高专、中专系列教材建设研究</w:t>
      </w:r>
    </w:p>
    <w:p w14:paraId="2421D784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16．</w:t>
      </w:r>
      <w:r>
        <w:rPr>
          <w:rFonts w:asciiTheme="minorEastAsia" w:hAnsiTheme="minorEastAsia"/>
          <w:bCs/>
          <w:sz w:val="28"/>
          <w:szCs w:val="28"/>
        </w:rPr>
        <w:t>高职高专学前教育专业生源质量调查与分析</w:t>
      </w:r>
      <w:r>
        <w:rPr>
          <w:rFonts w:hint="eastAsia" w:asciiTheme="minorEastAsia" w:hAnsiTheme="minorEastAsia"/>
          <w:bCs/>
          <w:sz w:val="28"/>
          <w:szCs w:val="28"/>
        </w:rPr>
        <w:t>研究</w:t>
      </w:r>
    </w:p>
    <w:p w14:paraId="609194BF">
      <w:pPr>
        <w:adjustRightInd w:val="0"/>
        <w:snapToGrid w:val="0"/>
        <w:spacing w:line="480" w:lineRule="exact"/>
        <w:rPr>
          <w:rFonts w:asciiTheme="minorEastAsia" w:hAnsi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17．</w:t>
      </w:r>
      <w:r>
        <w:rPr>
          <w:rFonts w:asciiTheme="minorEastAsia" w:hAnsiTheme="minorEastAsia"/>
          <w:bCs/>
          <w:sz w:val="28"/>
          <w:szCs w:val="28"/>
        </w:rPr>
        <w:t>学前教育专业初中起点五年制专科培养模式</w:t>
      </w:r>
      <w:r>
        <w:rPr>
          <w:rFonts w:hint="eastAsia" w:asciiTheme="minorEastAsia" w:hAnsiTheme="minorEastAsia"/>
          <w:bCs/>
          <w:sz w:val="28"/>
          <w:szCs w:val="28"/>
        </w:rPr>
        <w:t>研究</w:t>
      </w:r>
      <w:r>
        <w:rPr>
          <w:rFonts w:asciiTheme="minorEastAsia" w:hAnsiTheme="minorEastAsia"/>
          <w:bCs/>
          <w:sz w:val="28"/>
          <w:szCs w:val="28"/>
        </w:rPr>
        <w:t xml:space="preserve"> </w:t>
      </w:r>
      <w:r>
        <w:rPr>
          <w:rFonts w:hint="eastAsia" w:asciiTheme="minorEastAsia" w:hAnsiTheme="minorEastAsia"/>
          <w:bCs/>
          <w:kern w:val="0"/>
          <w:sz w:val="28"/>
          <w:szCs w:val="28"/>
        </w:rPr>
        <w:t> </w:t>
      </w:r>
    </w:p>
    <w:p w14:paraId="6487788A">
      <w:pPr>
        <w:adjustRightInd w:val="0"/>
        <w:snapToGrid w:val="0"/>
        <w:spacing w:line="480" w:lineRule="exact"/>
        <w:rPr>
          <w:rFonts w:asciiTheme="minorEastAsia" w:hAnsi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kern w:val="0"/>
          <w:sz w:val="28"/>
          <w:szCs w:val="28"/>
        </w:rPr>
        <w:t>18. </w:t>
      </w:r>
      <w:r>
        <w:rPr>
          <w:rFonts w:asciiTheme="minorEastAsia" w:hAnsiTheme="minorEastAsia"/>
          <w:bCs/>
          <w:sz w:val="28"/>
          <w:szCs w:val="28"/>
        </w:rPr>
        <w:t>五年制</w:t>
      </w:r>
      <w:r>
        <w:rPr>
          <w:rFonts w:hint="eastAsia" w:asciiTheme="minorEastAsia" w:hAnsiTheme="minorEastAsia"/>
          <w:bCs/>
          <w:sz w:val="28"/>
          <w:szCs w:val="28"/>
        </w:rPr>
        <w:t>学前教育专业毕业生科学文化素养状况研究</w:t>
      </w:r>
    </w:p>
    <w:p w14:paraId="308E3EB9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19．</w:t>
      </w:r>
      <w:r>
        <w:rPr>
          <w:rFonts w:cs="宋体" w:asciiTheme="minorEastAsia" w:hAnsiTheme="minorEastAsia"/>
          <w:bCs/>
          <w:kern w:val="0"/>
          <w:sz w:val="28"/>
          <w:szCs w:val="28"/>
        </w:rPr>
        <w:t>农村幼儿教师培训模式与方法的研究</w:t>
      </w:r>
    </w:p>
    <w:p w14:paraId="34433868">
      <w:pPr>
        <w:adjustRightInd w:val="0"/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20．基于幼儿园实践的教师发展评价研究</w:t>
      </w:r>
    </w:p>
    <w:p w14:paraId="79F874FD">
      <w:pPr>
        <w:adjustRightInd w:val="0"/>
        <w:snapToGrid w:val="0"/>
        <w:spacing w:line="480" w:lineRule="exact"/>
        <w:rPr>
          <w:rFonts w:cs="宋体" w:asciiTheme="minorEastAsia" w:hAnsiTheme="minorEastAsia"/>
          <w:bCs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>21．不同办园体制下幼儿教师生存状态的研究</w:t>
      </w:r>
    </w:p>
    <w:p w14:paraId="38EB21BF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Cs/>
          <w:kern w:val="0"/>
          <w:sz w:val="28"/>
          <w:szCs w:val="28"/>
        </w:rPr>
        <w:t xml:space="preserve">22. 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非在编幼儿教师的待遇和社会保障问题研究</w:t>
      </w:r>
    </w:p>
    <w:p w14:paraId="4180A3A1">
      <w:pPr>
        <w:adjustRightInd w:val="0"/>
        <w:snapToGrid w:val="0"/>
        <w:spacing w:line="480" w:lineRule="exact"/>
        <w:jc w:val="left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23.幼儿园跨专业教师成长特点与培养研究</w:t>
      </w:r>
    </w:p>
    <w:p w14:paraId="5511AB62">
      <w:pPr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24.农村富余教师转岗幼儿教师的政策研究</w:t>
      </w:r>
    </w:p>
    <w:p w14:paraId="03E3BF53">
      <w:pPr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25.幼儿教师劳动特点与心理健康研究</w:t>
      </w:r>
    </w:p>
    <w:p w14:paraId="7FDA09A2">
      <w:pPr>
        <w:snapToGrid w:val="0"/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26.幼儿教师游戏精神与游戏能力研究</w:t>
      </w:r>
    </w:p>
    <w:p w14:paraId="6FF290B1">
      <w:pPr>
        <w:snapToGrid w:val="0"/>
        <w:rPr>
          <w:rFonts w:ascii="宋体" w:hAnsi="宋体"/>
          <w:szCs w:val="21"/>
        </w:rPr>
      </w:pPr>
    </w:p>
    <w:p w14:paraId="4945ADE5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2E0CDF15">
      <w:pPr>
        <w:pStyle w:val="6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27B07CC9">
      <w:pPr>
        <w:pStyle w:val="6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735A1F20">
      <w:pPr>
        <w:pStyle w:val="6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38D8BF2F"/>
    <w:p w14:paraId="0F532A25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75FD677E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2DB5C078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41933483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708272D5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7DBD2DC6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61E96F8D">
      <w:pPr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12658F88">
      <w:pPr>
        <w:pStyle w:val="6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0D85B333">
      <w:pPr>
        <w:pStyle w:val="6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07388B7D">
      <w:pPr>
        <w:pStyle w:val="6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5E49CF0B">
      <w:pPr>
        <w:pStyle w:val="6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</w:p>
    <w:p w14:paraId="441C36FD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9685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DA043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4DA043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48580"/>
    <w:multiLevelType w:val="singleLevel"/>
    <w:tmpl w:val="E974858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3F516FD"/>
    <w:multiLevelType w:val="multilevel"/>
    <w:tmpl w:val="53F516FD"/>
    <w:lvl w:ilvl="0" w:tentative="0">
      <w:start w:val="2"/>
      <w:numFmt w:val="japaneseCounting"/>
      <w:lvlText w:val="%1、"/>
      <w:lvlJc w:val="left"/>
      <w:pPr>
        <w:tabs>
          <w:tab w:val="left" w:pos="900"/>
        </w:tabs>
        <w:ind w:left="900" w:hanging="72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TU2MDhmMGZiMzg0YzUxZDA4ZjEwZjY3OWM3YmIifQ=="/>
  </w:docVars>
  <w:rsids>
    <w:rsidRoot w:val="00C34124"/>
    <w:rsid w:val="00034486"/>
    <w:rsid w:val="00045820"/>
    <w:rsid w:val="00077836"/>
    <w:rsid w:val="000C20BB"/>
    <w:rsid w:val="000F2544"/>
    <w:rsid w:val="001C01CE"/>
    <w:rsid w:val="0022376D"/>
    <w:rsid w:val="00225AA7"/>
    <w:rsid w:val="002A3379"/>
    <w:rsid w:val="002C6364"/>
    <w:rsid w:val="003448F6"/>
    <w:rsid w:val="00404962"/>
    <w:rsid w:val="00424B43"/>
    <w:rsid w:val="004258B6"/>
    <w:rsid w:val="00442B69"/>
    <w:rsid w:val="00450335"/>
    <w:rsid w:val="00474F54"/>
    <w:rsid w:val="00492E5C"/>
    <w:rsid w:val="004A2930"/>
    <w:rsid w:val="004B55D2"/>
    <w:rsid w:val="0053331E"/>
    <w:rsid w:val="005477F3"/>
    <w:rsid w:val="00551ADD"/>
    <w:rsid w:val="0055247D"/>
    <w:rsid w:val="005707EF"/>
    <w:rsid w:val="0063551D"/>
    <w:rsid w:val="00644914"/>
    <w:rsid w:val="006455EC"/>
    <w:rsid w:val="00657D67"/>
    <w:rsid w:val="00660CB1"/>
    <w:rsid w:val="006A4B36"/>
    <w:rsid w:val="006F6F32"/>
    <w:rsid w:val="00734E59"/>
    <w:rsid w:val="00745F52"/>
    <w:rsid w:val="007640B5"/>
    <w:rsid w:val="007704E4"/>
    <w:rsid w:val="007764FA"/>
    <w:rsid w:val="00783346"/>
    <w:rsid w:val="00790337"/>
    <w:rsid w:val="007905E2"/>
    <w:rsid w:val="007A3185"/>
    <w:rsid w:val="007B718A"/>
    <w:rsid w:val="00801222"/>
    <w:rsid w:val="00810B7B"/>
    <w:rsid w:val="008B3B74"/>
    <w:rsid w:val="008D6917"/>
    <w:rsid w:val="0094178A"/>
    <w:rsid w:val="00951A99"/>
    <w:rsid w:val="00957080"/>
    <w:rsid w:val="009A0B5A"/>
    <w:rsid w:val="009E2E41"/>
    <w:rsid w:val="00A253CE"/>
    <w:rsid w:val="00A45563"/>
    <w:rsid w:val="00A51B62"/>
    <w:rsid w:val="00A8733C"/>
    <w:rsid w:val="00A9013B"/>
    <w:rsid w:val="00A96404"/>
    <w:rsid w:val="00AB75E0"/>
    <w:rsid w:val="00AD465C"/>
    <w:rsid w:val="00AD4F4F"/>
    <w:rsid w:val="00B2187E"/>
    <w:rsid w:val="00B225AE"/>
    <w:rsid w:val="00BE0EFC"/>
    <w:rsid w:val="00C16AA9"/>
    <w:rsid w:val="00C2129A"/>
    <w:rsid w:val="00C336BE"/>
    <w:rsid w:val="00C34124"/>
    <w:rsid w:val="00C44F48"/>
    <w:rsid w:val="00C56292"/>
    <w:rsid w:val="00C74287"/>
    <w:rsid w:val="00CA319D"/>
    <w:rsid w:val="00CB07FB"/>
    <w:rsid w:val="00CC458F"/>
    <w:rsid w:val="00D105BF"/>
    <w:rsid w:val="00D119CE"/>
    <w:rsid w:val="00D2675B"/>
    <w:rsid w:val="00D4226B"/>
    <w:rsid w:val="00D61074"/>
    <w:rsid w:val="00D6440D"/>
    <w:rsid w:val="00D72760"/>
    <w:rsid w:val="00D76BCA"/>
    <w:rsid w:val="00D9709D"/>
    <w:rsid w:val="00E07B90"/>
    <w:rsid w:val="00E601B4"/>
    <w:rsid w:val="00E63931"/>
    <w:rsid w:val="00E858A0"/>
    <w:rsid w:val="00EB47AC"/>
    <w:rsid w:val="00ED1141"/>
    <w:rsid w:val="00F43A3C"/>
    <w:rsid w:val="00F625EA"/>
    <w:rsid w:val="00F6276B"/>
    <w:rsid w:val="00F84079"/>
    <w:rsid w:val="00F92BB3"/>
    <w:rsid w:val="00FA53EB"/>
    <w:rsid w:val="08BE349E"/>
    <w:rsid w:val="092F4B19"/>
    <w:rsid w:val="0CCA34B3"/>
    <w:rsid w:val="11073EE9"/>
    <w:rsid w:val="11535329"/>
    <w:rsid w:val="13A16036"/>
    <w:rsid w:val="17B45CEA"/>
    <w:rsid w:val="1839410C"/>
    <w:rsid w:val="1BA15FAB"/>
    <w:rsid w:val="1DA418BB"/>
    <w:rsid w:val="1E1A3B08"/>
    <w:rsid w:val="21C65291"/>
    <w:rsid w:val="22674D1D"/>
    <w:rsid w:val="232B60D0"/>
    <w:rsid w:val="239A3C6B"/>
    <w:rsid w:val="260112DC"/>
    <w:rsid w:val="2D782F86"/>
    <w:rsid w:val="2F6C3A3F"/>
    <w:rsid w:val="316F5DC0"/>
    <w:rsid w:val="31B1528D"/>
    <w:rsid w:val="32843B99"/>
    <w:rsid w:val="351D1FD7"/>
    <w:rsid w:val="35D74751"/>
    <w:rsid w:val="37D879A5"/>
    <w:rsid w:val="37E9103C"/>
    <w:rsid w:val="390C1A4B"/>
    <w:rsid w:val="39CB383C"/>
    <w:rsid w:val="3A302AE9"/>
    <w:rsid w:val="3CC043D9"/>
    <w:rsid w:val="3DAF66D7"/>
    <w:rsid w:val="3E7439D5"/>
    <w:rsid w:val="41376B49"/>
    <w:rsid w:val="45BB1D1C"/>
    <w:rsid w:val="4618489D"/>
    <w:rsid w:val="48E90838"/>
    <w:rsid w:val="48FC3CC4"/>
    <w:rsid w:val="4F4254E9"/>
    <w:rsid w:val="58BC54DF"/>
    <w:rsid w:val="59225509"/>
    <w:rsid w:val="5A5E3A68"/>
    <w:rsid w:val="5AED2007"/>
    <w:rsid w:val="5D072013"/>
    <w:rsid w:val="5FB7432D"/>
    <w:rsid w:val="607761FD"/>
    <w:rsid w:val="61F72F11"/>
    <w:rsid w:val="65B96EA0"/>
    <w:rsid w:val="6983765D"/>
    <w:rsid w:val="6A434DB2"/>
    <w:rsid w:val="6D59761A"/>
    <w:rsid w:val="6EEE3C49"/>
    <w:rsid w:val="740414BE"/>
    <w:rsid w:val="75FD33ED"/>
    <w:rsid w:val="76B1567E"/>
    <w:rsid w:val="76DC465E"/>
    <w:rsid w:val="792F71B0"/>
    <w:rsid w:val="79C10E77"/>
    <w:rsid w:val="79EB757B"/>
    <w:rsid w:val="7BE11258"/>
    <w:rsid w:val="7C1422E3"/>
    <w:rsid w:val="7D7D3913"/>
    <w:rsid w:val="7F4F51AB"/>
    <w:rsid w:val="7FAA57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unhideWhenUsed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6041</Words>
  <Characters>6330</Characters>
  <Lines>58</Lines>
  <Paragraphs>16</Paragraphs>
  <TotalTime>24</TotalTime>
  <ScaleCrop>false</ScaleCrop>
  <LinksUpToDate>false</LinksUpToDate>
  <CharactersWithSpaces>6591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2019-03-13T01:46:00Z</dcterms:created>
  <dc:creator>Microsoft</dc:creator>
  <cp:lastModifiedBy>张晓蕾</cp:lastModifiedBy>
  <cp:lastPrinted>2024-12-11T02:15:00Z</cp:lastPrinted>
  <dcterms:modified xsi:type="dcterms:W3CDTF">2024-12-11T02:19:02Z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C443E32294AE4201947B0AE731DEDCD7_13</vt:lpwstr>
  </property>
</Properties>
</file>